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III 73</w:t>
      </w:r>
    </w:p>
    <w:p>
      <w:r>
        <w:t>Bundesgericht (BGE), 1985-09-03, DE</w:t>
      </w:r>
    </w:p>
    <w:p>
      <w:r>
        <w:rPr>
          <w:b/>
        </w:rPr>
        <w:t xml:space="preserve">Quelle: </w:t>
      </w:r>
      <w:r>
        <w:t>https://mcp.opencaselaw.ch/entscheid/bge_111 III 73</w:t>
      </w:r>
    </w:p>
    <w:p>
      <w:r>
        <w:t>FR: ATF 111 III 73</w:t>
      </w:r>
    </w:p>
    <w:p>
      <w:r>
        <w:t>IT: DTF 111 III 73</w:t>
      </w:r>
    </w:p>
    <w:p>
      <w:pPr>
        <w:pStyle w:val="Heading2"/>
      </w:pPr>
      <w:r>
        <w:t>Regeste</w:t>
      </w:r>
    </w:p>
    <w:p>
      <w:r>
        <w:t>Regeste Abgetretene künftige Forderungen im Konkurs des Zedenten. 1. Umfang und Rechtswirkungen des Konkursbeschlags (Art. 92, 197 Abs. 1 und Art. 204 Abs. 1 SchKG) (E. 2). 2. Abgetretene künftige Forderungen, die nach Eröffnung des Konkurses über den Zedenten entstehen, fallen nicht in das Vermögen des Zessionars sondern in die Konkursmasse (E. 3).</w:t>
      </w:r>
    </w:p>
    <w:p>
      <w:pPr>
        <w:pStyle w:val="Heading2"/>
      </w:pPr>
      <w:r>
        <w:t>Erwägungen</w:t>
      </w:r>
    </w:p>
    <w:p>
      <w:r>
        <w:rPr>
          <w:b/>
        </w:rPr>
        <w:t>E. 2</w:t>
      </w:r>
    </w:p>
    <w:p>
      <w:r>
        <w:t>Nach Art. 197 Abs. 1 SchKG bildet sämtliches Vermögen, das dem Gemeinschuldner zur Zeit der Konkurseröffnung angehört, eine einzige Masse (Konkursmasse), die der gemeinschaftlichen Befriedigung der Gläubiger dient. Ausgenommen sind die in Art. 92 SchKG bezeichneten Vermögensteile (Kompetenzstücke). Zur Konkursmasse gehört ferner auch Vermögen, das dem Gemeinschuldner während des Konkursverfahrens anfällt. Mit Ausnahme der Kompetenzstücke unterwirft das Gesetz sämtliches Vermögen dem Konkursbeschlag, einer öffentlichrechtlichen Beschlagnahme, und verschafft damit den Gläubigern das Recht, sich aus diesem Vermögen zu befriedigen ( BGE 93 III 107 E. 7 mit Hinweisen). Die Verfügungs- und Verpflichtungsfähigkeit des Gemeinschuldners über das Vermögen in der Konkursmasse geht mit der Konkurseröffnung auf die Konkursverwaltung über, so dass Rechtshandlungen, die er zu derartigen Vermögensstücken nach Konkurseröffnung vornimmt, den Konkursgläubigern gegenüber ungültig sind ( Art. 204 Abs. 1 SchKG ).</w:t>
      </w:r>
    </w:p>
    <w:p>
      <w:r>
        <w:rPr>
          <w:b/>
        </w:rPr>
        <w:t>E. 3</w:t>
      </w:r>
    </w:p>
    <w:p>
      <w:r>
        <w:t>a) Besondere Fragen stellen sich freilich im Zusammenhang mit Forderungen, die der Gemeinschuldner vor Konkurseröffnung abgetreten hat. Hat die Forderung zur Zeit ihrer Abtretung bereits bestanden, so ist sie mit der Abtretung in das Vermögen des Zessionars übergegangen. Anders ist die Rechtslage, wenn eine künftige Forderung abgetreten worden ist; hier entfaltet die Abtretung nach herrschender Rechtsprechung und Lehre ihre Wirkung erst im Zeitpunkt, wo die Forderung entsteht. Der Zedent muss in diesem Zeitpunkt noch Verfügungsmacht über die Forderung besitzen ( BGE 61 II 331 E. 1, BGE 57 II 540 Nr. 84; BECKER, N. 8 zu Art. 164 OR ; BUCHER, OR, S. 492; VON BÜREN, OR Allg. Teil, S. 325; GAUCH/SCHLUEP/JÄGGI, 3. Aufl., N. 2206; FROMER, Die Abtretung künftiger Forderungen, in ZSR 57/1938, S. 325; KELLER/SCHÖBI, Das Schweizerische Schuldrecht, 4. Bd., S. 46; LEEMANN, N. 16 zu Art. 835 ZGB ; OSER/SCHÖNENBERGER, N. 4 zu Art. 164 OR ; ZOBL, Die Forderungszession im Konkurs des Zedenten, in Festschrift Arthur Meier-Hayoz, Zürich 1972, S. 145 f.). Daraus zieht die herrschende Lehre den Schluss, die Forderung BGE 111 III 73 S. 76 falle, wenn sie erst nach Konkurseröffnung entstehe, nicht in das Vermögen des Zessionars, sondern in die Konkursmasse. b) Dieser Lehre ist vorliegend entgegen der Auffassung der Klägerin zuzustimmen. Dass der Zessionar die Forderung nur erwerben kann, wenn der Zedent im Zeitpunkt ihrer Entstehung noch Verfügungsmacht über sie besitzt, verkennt, wer wie die Klägerin den Zessionar und nicht die Konkursverwaltung als in jedem Fall forderungsberechtigt bezeichnet (GUHL/MERZ/KUMMER, OR 7. Aufl., S. 235; JAEGER, Das Bundesgesetz betreffend Schuldbetreibung und Konkurs, II. Bd., 3. Aufl., N. 1 zu Art. 197 SchKG , S. 4). Gewisse Autoren neigen allerdings nur im Zusammenhang mit der Abtretung künftiger Lohnforderungen zu dieser Auffassung (BÜHRLE, Die Lohnzession im schweizerischen Recht, Diss. Zürich 1952, S. 209 ff.; NÄF, Die Sicherung von Gläubigerrechten im Hinblick auf den Konkurs des Schuldners, Diss. Freiburg 1983, S. 13; WALDER, Lohnabtretung und Zwangsvollstreckung, Zürich 1975, S. 75 f.). Da Lohnforderungen indes nicht zum Vermögen im Sinne von Art. 197 SchKG gehören, sind Regeln zur Lohnabtretung auf den vorliegenden Fall nicht übertragbar. Die Klägerin, die das übersieht, beruft sich daher zu Unrecht auf BGE 75 III 116 dieser Entscheid hielt klar fest, dass Lohnforderungen ungeachtet einer Abtretung nicht in die Konkursmasse fallen; über den Zeitpunkt und die Bedingungen der Entstehung künftiger Forderungen ist jenem Entscheid nichts zu entnehmen. Dem in BGE 95 III 12 E. 1 veröffentlichten Urteil, wo eine Lohnpfändung mit einer zuvor erfolgten Lohnabtretung konkurrierte und das Bundesgericht entschied, die Pfändung könne nicht aufrecht erhalten werden, ist für die besondere Situation des Konkurses nichts zu entnehmen. Dort ging es vor allem darum, dass der Zedent einer künftigen Forderung die Rechte des Zessionars nicht durch spätere gegenteilige Verfügung beeinträchtigen kann. Aus der blossen Annahme, die künftige Forderung entstehe beim Zessionar, vermag die Klägerin daher nichts für ihren Standpunkt zu gewinnen. c) Sinn und Zweck der konkursrechtlichen Ordnung gebieten es vielmehr, Forderungen, die vor Konkurseröffnung zwar abgetreten worden, aber erst nachher entstanden sind, in die Konkursmasse fallen zu lassen. Würde der Zessionar auch noch nach Ausbruch des Konkurses Gläubiger, könnte der Zedent durch Zessionen ohne weiteres die konkursrechtliche Ordnung zu Lasten der Mehrheit der Gläubiger unterlaufen, indem er ihnen mittels Vorauszessionen BGE 111 III 73 S. 77 wesentliche Teile des Konkursvermögens entzöge, um es einem einzelnen oder wenigen Gläubigern zuzuwenden, ohne dass er damit bereits Anlass für eine Anfechtungsklage gemäss Art. 285 ff. SchKG geben müsste (dazu BGE 101 III 92 ff.). Das Interesse der Gesamtheit der Gläubiger am Konkursvermögen muss daher demjenigen einzelner Gläubiger, namentlich der Kreditgeber an der Sicherung ihrer Forderungen, vorgehen. Nur diese Lösung trägt dazu bei, dass die Konkursverwaltung nach Möglichkeit ein bestehendes Gewerbe des Gemeinschuldners unter zumutbaren wirtschaftlichen Bedingungen weiterführen kann (AMONN, in BlSchKG 43/1979, S. 137; FROMER, a.a.O., S. 325; ZOBL, a.a.O., S. 146). Auch kann die Konkursverwaltung trotz aller zwingenden Vorschriften des Konkursverfahrens erheblich Einfluss nehmen auf die Entscheidung, ob die Forderung überhaupt entstehen soll, indem sie beispielsweise einen beabsichtigten Kauf gar nicht abschliesst. Daraus erhellt erneut, dass die abgetretene künftige Forderung nicht bereits vor ihrer Entstehung aus dem Vermögen des Gemeinschuldners ausgeschieden sein kann; selbst JAEGER (a.a.O.), der eine abweichende Auffassung vertritt, will in solchen Fällen zugunsten der Konkursverwaltung eine Ausnahme machen. Keinen andern Standpunkt als die herrschende schweizerische Lehre nimmt aus denselben Überlegungen die deutsche Rechtsprechung ein, die sich freilich auf eine konkrete gesetzliche Bestimmung berufen kann (§ 15 der deutschen Konkursordnung vom 10. Februar 1877; Entscheid des BGH vom 5.1.1955, publiziert in NJW 1955 I S. 544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